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DC935" w14:textId="77777777" w:rsidR="00370B26" w:rsidRDefault="00370B26">
      <w:pPr>
        <w:rPr>
          <w:rFonts w:ascii="Arial" w:hAnsi="Arial" w:cs="Arial"/>
          <w:b/>
          <w:sz w:val="32"/>
          <w:szCs w:val="32"/>
        </w:rPr>
      </w:pPr>
    </w:p>
    <w:p w14:paraId="21CCBB7D" w14:textId="77777777" w:rsidR="001F2E14" w:rsidRPr="00370B26" w:rsidRDefault="001F2E14">
      <w:pPr>
        <w:rPr>
          <w:rFonts w:ascii="Arial" w:hAnsi="Arial" w:cs="Arial"/>
          <w:b/>
          <w:sz w:val="32"/>
          <w:szCs w:val="32"/>
        </w:rPr>
      </w:pPr>
      <w:r w:rsidRPr="00370B26">
        <w:rPr>
          <w:rFonts w:ascii="Arial" w:hAnsi="Arial" w:cs="Arial"/>
          <w:b/>
          <w:sz w:val="32"/>
          <w:szCs w:val="32"/>
        </w:rPr>
        <w:t xml:space="preserve">Notes </w:t>
      </w:r>
      <w:r w:rsidR="00370B26" w:rsidRPr="00370B26">
        <w:rPr>
          <w:rFonts w:ascii="Arial" w:hAnsi="Arial" w:cs="Arial"/>
          <w:b/>
          <w:sz w:val="32"/>
          <w:szCs w:val="32"/>
        </w:rPr>
        <w:t xml:space="preserve">on the </w:t>
      </w:r>
      <w:r w:rsidRPr="00370B26">
        <w:rPr>
          <w:rFonts w:ascii="Arial" w:hAnsi="Arial" w:cs="Arial"/>
          <w:b/>
          <w:sz w:val="32"/>
          <w:szCs w:val="32"/>
        </w:rPr>
        <w:t>Strategic Get Together</w:t>
      </w:r>
      <w:r w:rsidR="008A2A91" w:rsidRPr="00370B26">
        <w:rPr>
          <w:rFonts w:ascii="Arial" w:hAnsi="Arial" w:cs="Arial"/>
          <w:b/>
          <w:sz w:val="32"/>
          <w:szCs w:val="32"/>
        </w:rPr>
        <w:t xml:space="preserve"> 11/12/15</w:t>
      </w:r>
    </w:p>
    <w:p w14:paraId="46417DF5" w14:textId="77777777" w:rsidR="001F2E14" w:rsidRPr="001F2E14" w:rsidRDefault="001F2E14">
      <w:pPr>
        <w:rPr>
          <w:rFonts w:ascii="Arial" w:hAnsi="Arial" w:cs="Arial"/>
          <w:sz w:val="28"/>
          <w:szCs w:val="28"/>
        </w:rPr>
      </w:pPr>
    </w:p>
    <w:p w14:paraId="5989E7C9" w14:textId="77777777" w:rsidR="001B00F8" w:rsidRPr="001F2E14" w:rsidRDefault="001F2E14">
      <w:pPr>
        <w:rPr>
          <w:rFonts w:ascii="Arial" w:hAnsi="Arial" w:cs="Arial"/>
        </w:rPr>
      </w:pPr>
      <w:r w:rsidRPr="001F2E14">
        <w:rPr>
          <w:rFonts w:ascii="Arial" w:hAnsi="Arial" w:cs="Arial"/>
        </w:rPr>
        <w:t>Held at Hunters Hill Croquet Club</w:t>
      </w:r>
    </w:p>
    <w:p w14:paraId="1A8DE450" w14:textId="77777777" w:rsidR="001F2E14" w:rsidRPr="001F2E14" w:rsidRDefault="001F2E14">
      <w:pPr>
        <w:rPr>
          <w:rFonts w:ascii="Arial" w:hAnsi="Arial" w:cs="Arial"/>
        </w:rPr>
      </w:pPr>
    </w:p>
    <w:p w14:paraId="507C7FD1" w14:textId="77777777" w:rsidR="001F2E14" w:rsidRPr="001F2E14" w:rsidRDefault="001F2E14">
      <w:pPr>
        <w:rPr>
          <w:rFonts w:ascii="Arial" w:hAnsi="Arial" w:cs="Arial"/>
        </w:rPr>
      </w:pPr>
    </w:p>
    <w:p w14:paraId="53405BF4" w14:textId="77777777" w:rsidR="001F2E14" w:rsidRPr="008A2A91" w:rsidRDefault="001F2E14">
      <w:pPr>
        <w:rPr>
          <w:rFonts w:ascii="Arial" w:hAnsi="Arial" w:cs="Arial"/>
          <w:b/>
          <w:sz w:val="28"/>
          <w:szCs w:val="28"/>
        </w:rPr>
      </w:pPr>
      <w:r w:rsidRPr="008A2A91">
        <w:rPr>
          <w:rFonts w:ascii="Arial" w:hAnsi="Arial" w:cs="Arial"/>
          <w:b/>
          <w:sz w:val="28"/>
          <w:szCs w:val="28"/>
        </w:rPr>
        <w:t>Attendees</w:t>
      </w:r>
    </w:p>
    <w:p w14:paraId="6714701D" w14:textId="77777777" w:rsidR="001F2E14" w:rsidRPr="001F2E14" w:rsidRDefault="001F2E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4"/>
        <w:gridCol w:w="4875"/>
      </w:tblGrid>
      <w:tr w:rsidR="001F2E14" w:rsidRPr="001F2E14" w14:paraId="209989A9" w14:textId="77777777" w:rsidTr="001F2E14">
        <w:tc>
          <w:tcPr>
            <w:tcW w:w="4874" w:type="dxa"/>
          </w:tcPr>
          <w:p w14:paraId="161DE586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Wendy Fothergill</w:t>
            </w:r>
          </w:p>
        </w:tc>
        <w:tc>
          <w:tcPr>
            <w:tcW w:w="4875" w:type="dxa"/>
          </w:tcPr>
          <w:p w14:paraId="13FB091E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Newsletter/ communications</w:t>
            </w:r>
          </w:p>
        </w:tc>
      </w:tr>
      <w:tr w:rsidR="001F2E14" w:rsidRPr="001F2E14" w14:paraId="674C01F3" w14:textId="77777777" w:rsidTr="001F2E14">
        <w:tc>
          <w:tcPr>
            <w:tcW w:w="4874" w:type="dxa"/>
          </w:tcPr>
          <w:p w14:paraId="3D42CFFE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Ted Salter</w:t>
            </w:r>
          </w:p>
        </w:tc>
        <w:tc>
          <w:tcPr>
            <w:tcW w:w="4875" w:type="dxa"/>
          </w:tcPr>
          <w:p w14:paraId="47321492" w14:textId="77777777" w:rsidR="001F2E14" w:rsidRPr="001F2E14" w:rsidRDefault="001F2E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</w:t>
            </w:r>
          </w:p>
        </w:tc>
      </w:tr>
      <w:tr w:rsidR="001F2E14" w:rsidRPr="001F2E14" w14:paraId="6074D64E" w14:textId="77777777" w:rsidTr="001F2E14">
        <w:tc>
          <w:tcPr>
            <w:tcW w:w="4874" w:type="dxa"/>
          </w:tcPr>
          <w:p w14:paraId="69F3AA1B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Bev Smith</w:t>
            </w:r>
          </w:p>
        </w:tc>
        <w:tc>
          <w:tcPr>
            <w:tcW w:w="4875" w:type="dxa"/>
          </w:tcPr>
          <w:p w14:paraId="43D1BE0D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Referees GC</w:t>
            </w:r>
          </w:p>
        </w:tc>
      </w:tr>
      <w:tr w:rsidR="001F2E14" w:rsidRPr="001F2E14" w14:paraId="6E8D82A0" w14:textId="77777777" w:rsidTr="001F2E14">
        <w:tc>
          <w:tcPr>
            <w:tcW w:w="4874" w:type="dxa"/>
          </w:tcPr>
          <w:p w14:paraId="7D4E6984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Peter Smith</w:t>
            </w:r>
          </w:p>
        </w:tc>
        <w:tc>
          <w:tcPr>
            <w:tcW w:w="4875" w:type="dxa"/>
          </w:tcPr>
          <w:p w14:paraId="4432DE78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Selection GC</w:t>
            </w:r>
          </w:p>
        </w:tc>
      </w:tr>
      <w:tr w:rsidR="001F2E14" w:rsidRPr="001F2E14" w14:paraId="34802FFA" w14:textId="77777777" w:rsidTr="001F2E14">
        <w:tc>
          <w:tcPr>
            <w:tcW w:w="4874" w:type="dxa"/>
          </w:tcPr>
          <w:p w14:paraId="45D91695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Neil Hardie</w:t>
            </w:r>
          </w:p>
        </w:tc>
        <w:tc>
          <w:tcPr>
            <w:tcW w:w="4875" w:type="dxa"/>
          </w:tcPr>
          <w:p w14:paraId="34441FAE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Referees AC</w:t>
            </w:r>
          </w:p>
        </w:tc>
      </w:tr>
      <w:tr w:rsidR="001F2E14" w:rsidRPr="001F2E14" w14:paraId="35A303A7" w14:textId="77777777" w:rsidTr="001F2E14">
        <w:tc>
          <w:tcPr>
            <w:tcW w:w="4874" w:type="dxa"/>
          </w:tcPr>
          <w:p w14:paraId="34BD5486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David Archer</w:t>
            </w:r>
          </w:p>
        </w:tc>
        <w:tc>
          <w:tcPr>
            <w:tcW w:w="4875" w:type="dxa"/>
          </w:tcPr>
          <w:p w14:paraId="5E607630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Website</w:t>
            </w:r>
          </w:p>
        </w:tc>
      </w:tr>
      <w:tr w:rsidR="001F2E14" w:rsidRPr="001F2E14" w14:paraId="4B0E895C" w14:textId="77777777" w:rsidTr="001F2E14">
        <w:tc>
          <w:tcPr>
            <w:tcW w:w="4874" w:type="dxa"/>
          </w:tcPr>
          <w:p w14:paraId="49CFECF1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Judy Squelch</w:t>
            </w:r>
          </w:p>
        </w:tc>
        <w:tc>
          <w:tcPr>
            <w:tcW w:w="4875" w:type="dxa"/>
          </w:tcPr>
          <w:p w14:paraId="48C1BA22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Gate ball</w:t>
            </w:r>
          </w:p>
        </w:tc>
      </w:tr>
      <w:tr w:rsidR="001F2E14" w:rsidRPr="001F2E14" w14:paraId="48B0B68C" w14:textId="77777777" w:rsidTr="001F2E14">
        <w:tc>
          <w:tcPr>
            <w:tcW w:w="4874" w:type="dxa"/>
          </w:tcPr>
          <w:p w14:paraId="07B8748E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John Compton</w:t>
            </w:r>
          </w:p>
        </w:tc>
        <w:tc>
          <w:tcPr>
            <w:tcW w:w="4875" w:type="dxa"/>
          </w:tcPr>
          <w:p w14:paraId="4A5C0ECD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31B28BB1" w14:textId="77777777" w:rsidTr="001F2E14">
        <w:tc>
          <w:tcPr>
            <w:tcW w:w="4874" w:type="dxa"/>
          </w:tcPr>
          <w:p w14:paraId="3E57FE2A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Jim Nicholls</w:t>
            </w:r>
          </w:p>
        </w:tc>
        <w:tc>
          <w:tcPr>
            <w:tcW w:w="4875" w:type="dxa"/>
          </w:tcPr>
          <w:p w14:paraId="50BE5AE9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58CB1567" w14:textId="77777777" w:rsidTr="001F2E14">
        <w:tc>
          <w:tcPr>
            <w:tcW w:w="4874" w:type="dxa"/>
          </w:tcPr>
          <w:p w14:paraId="29A5C01F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John Eddes</w:t>
            </w:r>
          </w:p>
        </w:tc>
        <w:tc>
          <w:tcPr>
            <w:tcW w:w="4875" w:type="dxa"/>
          </w:tcPr>
          <w:p w14:paraId="56C82F4A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74E1C611" w14:textId="77777777" w:rsidTr="001F2E14">
        <w:tc>
          <w:tcPr>
            <w:tcW w:w="4874" w:type="dxa"/>
          </w:tcPr>
          <w:p w14:paraId="0201035D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Steve Thornton</w:t>
            </w:r>
          </w:p>
        </w:tc>
        <w:tc>
          <w:tcPr>
            <w:tcW w:w="4875" w:type="dxa"/>
          </w:tcPr>
          <w:p w14:paraId="7BEAAC52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49A51FF5" w14:textId="77777777" w:rsidTr="001F2E14">
        <w:tc>
          <w:tcPr>
            <w:tcW w:w="4874" w:type="dxa"/>
          </w:tcPr>
          <w:p w14:paraId="147869E6" w14:textId="77777777" w:rsidR="001F2E14" w:rsidRPr="001F2E14" w:rsidRDefault="00370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McArthur</w:t>
            </w:r>
          </w:p>
        </w:tc>
        <w:tc>
          <w:tcPr>
            <w:tcW w:w="4875" w:type="dxa"/>
          </w:tcPr>
          <w:p w14:paraId="6A83496F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6871D4C1" w14:textId="77777777" w:rsidTr="001F2E14">
        <w:tc>
          <w:tcPr>
            <w:tcW w:w="4874" w:type="dxa"/>
          </w:tcPr>
          <w:p w14:paraId="5EC7E4C6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David Stanton</w:t>
            </w:r>
          </w:p>
        </w:tc>
        <w:tc>
          <w:tcPr>
            <w:tcW w:w="4875" w:type="dxa"/>
          </w:tcPr>
          <w:p w14:paraId="35A079EA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Tournament Committee</w:t>
            </w:r>
          </w:p>
        </w:tc>
      </w:tr>
      <w:tr w:rsidR="001F2E14" w:rsidRPr="001F2E14" w14:paraId="1B04C4E8" w14:textId="77777777" w:rsidTr="001F2E14">
        <w:tc>
          <w:tcPr>
            <w:tcW w:w="4874" w:type="dxa"/>
          </w:tcPr>
          <w:p w14:paraId="71FBECA4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Brenda Wild</w:t>
            </w:r>
          </w:p>
        </w:tc>
        <w:tc>
          <w:tcPr>
            <w:tcW w:w="4875" w:type="dxa"/>
          </w:tcPr>
          <w:p w14:paraId="68B24B6F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1F2E14" w:rsidRPr="001F2E14" w14:paraId="77DC6DC7" w14:textId="77777777" w:rsidTr="001F2E14">
        <w:tc>
          <w:tcPr>
            <w:tcW w:w="4874" w:type="dxa"/>
          </w:tcPr>
          <w:p w14:paraId="2102BB1F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Alison Sharpe</w:t>
            </w:r>
          </w:p>
        </w:tc>
        <w:tc>
          <w:tcPr>
            <w:tcW w:w="4875" w:type="dxa"/>
          </w:tcPr>
          <w:p w14:paraId="00D148A4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Communication</w:t>
            </w:r>
          </w:p>
        </w:tc>
      </w:tr>
      <w:tr w:rsidR="001F2E14" w:rsidRPr="001F2E14" w14:paraId="5E748F61" w14:textId="77777777" w:rsidTr="001F2E14">
        <w:tc>
          <w:tcPr>
            <w:tcW w:w="4874" w:type="dxa"/>
          </w:tcPr>
          <w:p w14:paraId="5E6C5FF5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Rosie Landrebe</w:t>
            </w:r>
          </w:p>
        </w:tc>
        <w:tc>
          <w:tcPr>
            <w:tcW w:w="4875" w:type="dxa"/>
          </w:tcPr>
          <w:p w14:paraId="7EAA1856" w14:textId="77777777" w:rsidR="001F2E14" w:rsidRPr="001F2E14" w:rsidRDefault="001F2E14">
            <w:pPr>
              <w:rPr>
                <w:rFonts w:ascii="Arial" w:hAnsi="Arial" w:cs="Arial"/>
              </w:rPr>
            </w:pPr>
            <w:r w:rsidRPr="001F2E14">
              <w:rPr>
                <w:rFonts w:ascii="Arial" w:hAnsi="Arial" w:cs="Arial"/>
              </w:rPr>
              <w:t>Board</w:t>
            </w:r>
          </w:p>
        </w:tc>
      </w:tr>
      <w:tr w:rsidR="00F61EF3" w:rsidRPr="001F2E14" w14:paraId="4866DE1C" w14:textId="77777777" w:rsidTr="001F2E14">
        <w:tc>
          <w:tcPr>
            <w:tcW w:w="4874" w:type="dxa"/>
          </w:tcPr>
          <w:p w14:paraId="134E2700" w14:textId="2D63AC05" w:rsidR="00F61EF3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Freer</w:t>
            </w:r>
          </w:p>
        </w:tc>
        <w:tc>
          <w:tcPr>
            <w:tcW w:w="4875" w:type="dxa"/>
          </w:tcPr>
          <w:p w14:paraId="383AF21C" w14:textId="63CAF91B" w:rsidR="00F61EF3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 Events</w:t>
            </w:r>
            <w:bookmarkStart w:id="0" w:name="_GoBack"/>
            <w:bookmarkEnd w:id="0"/>
          </w:p>
        </w:tc>
      </w:tr>
      <w:tr w:rsidR="001F2E14" w:rsidRPr="001F2E14" w14:paraId="0869B7F7" w14:textId="77777777" w:rsidTr="001F2E14">
        <w:tc>
          <w:tcPr>
            <w:tcW w:w="4874" w:type="dxa"/>
          </w:tcPr>
          <w:p w14:paraId="38AD6B0F" w14:textId="77777777" w:rsidR="001F2E14" w:rsidRPr="001F2E14" w:rsidRDefault="006C3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Margaret Thompson</w:t>
            </w:r>
          </w:p>
        </w:tc>
        <w:tc>
          <w:tcPr>
            <w:tcW w:w="4875" w:type="dxa"/>
          </w:tcPr>
          <w:p w14:paraId="6FF0EAB9" w14:textId="77777777" w:rsidR="001F2E14" w:rsidRPr="001F2E14" w:rsidRDefault="00896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</w:t>
            </w:r>
            <w:r w:rsidR="006C3D69">
              <w:rPr>
                <w:rFonts w:ascii="Arial" w:hAnsi="Arial" w:cs="Arial"/>
              </w:rPr>
              <w:t>cochet</w:t>
            </w:r>
          </w:p>
        </w:tc>
      </w:tr>
    </w:tbl>
    <w:p w14:paraId="5AC342D7" w14:textId="77777777" w:rsidR="008A2A91" w:rsidRDefault="008A2A91"/>
    <w:p w14:paraId="0FE81038" w14:textId="77777777" w:rsidR="001F2E14" w:rsidRDefault="008A2A91">
      <w:pPr>
        <w:rPr>
          <w:rFonts w:ascii="Arial" w:hAnsi="Arial" w:cs="Arial"/>
          <w:b/>
          <w:sz w:val="28"/>
          <w:szCs w:val="28"/>
        </w:rPr>
      </w:pPr>
      <w:r w:rsidRPr="008A2A91">
        <w:rPr>
          <w:b/>
          <w:sz w:val="28"/>
          <w:szCs w:val="28"/>
        </w:rPr>
        <w:t xml:space="preserve"> </w:t>
      </w:r>
      <w:r w:rsidRPr="008A2A91">
        <w:rPr>
          <w:rFonts w:ascii="Arial" w:hAnsi="Arial" w:cs="Arial"/>
          <w:b/>
          <w:sz w:val="28"/>
          <w:szCs w:val="28"/>
        </w:rPr>
        <w:t>Overview</w:t>
      </w:r>
    </w:p>
    <w:p w14:paraId="54C2ED37" w14:textId="77777777" w:rsidR="008A2A91" w:rsidRPr="008A2A91" w:rsidRDefault="008A2A91">
      <w:pPr>
        <w:rPr>
          <w:rFonts w:ascii="Arial" w:hAnsi="Arial" w:cs="Arial"/>
          <w:b/>
          <w:sz w:val="28"/>
          <w:szCs w:val="28"/>
        </w:rPr>
      </w:pPr>
    </w:p>
    <w:p w14:paraId="55132BA6" w14:textId="77777777" w:rsidR="001F2E14" w:rsidRPr="008A2A91" w:rsidRDefault="008A2A91" w:rsidP="008A2A9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2A91">
        <w:rPr>
          <w:rFonts w:ascii="Arial" w:hAnsi="Arial" w:cs="Arial"/>
        </w:rPr>
        <w:t xml:space="preserve">The </w:t>
      </w:r>
      <w:r w:rsidR="001F2E14" w:rsidRPr="008A2A91">
        <w:rPr>
          <w:rFonts w:ascii="Arial" w:hAnsi="Arial" w:cs="Arial"/>
        </w:rPr>
        <w:t xml:space="preserve">group </w:t>
      </w:r>
      <w:r w:rsidRPr="008A2A91">
        <w:rPr>
          <w:rFonts w:ascii="Arial" w:hAnsi="Arial" w:cs="Arial"/>
        </w:rPr>
        <w:t xml:space="preserve">was </w:t>
      </w:r>
      <w:r w:rsidR="001F2E14" w:rsidRPr="008A2A91">
        <w:rPr>
          <w:rFonts w:ascii="Arial" w:hAnsi="Arial" w:cs="Arial"/>
        </w:rPr>
        <w:t>sourced from existing position holders</w:t>
      </w:r>
      <w:r w:rsidR="007B4F07" w:rsidRPr="008A2A91">
        <w:rPr>
          <w:rFonts w:ascii="Arial" w:hAnsi="Arial" w:cs="Arial"/>
        </w:rPr>
        <w:t xml:space="preserve"> and othe</w:t>
      </w:r>
      <w:r>
        <w:rPr>
          <w:rFonts w:ascii="Arial" w:hAnsi="Arial" w:cs="Arial"/>
        </w:rPr>
        <w:t>rs to seek ideas and feedback in relation to</w:t>
      </w:r>
      <w:r w:rsidR="001F2E14" w:rsidRPr="008A2A91">
        <w:rPr>
          <w:rFonts w:ascii="Arial" w:hAnsi="Arial" w:cs="Arial"/>
        </w:rPr>
        <w:t xml:space="preserve"> how the organisation will move forward.</w:t>
      </w:r>
    </w:p>
    <w:p w14:paraId="5B7E62E2" w14:textId="77777777" w:rsidR="001F2E14" w:rsidRPr="008A2A91" w:rsidRDefault="001F2E14">
      <w:pPr>
        <w:rPr>
          <w:rFonts w:ascii="Arial" w:hAnsi="Arial" w:cs="Arial"/>
        </w:rPr>
      </w:pPr>
    </w:p>
    <w:p w14:paraId="1AA4614E" w14:textId="77777777" w:rsidR="001F2E14" w:rsidRDefault="007B4F07" w:rsidP="007B4F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2A91">
        <w:rPr>
          <w:rFonts w:ascii="Arial" w:hAnsi="Arial" w:cs="Arial"/>
        </w:rPr>
        <w:t xml:space="preserve">A </w:t>
      </w:r>
      <w:r w:rsidR="001F2E14" w:rsidRPr="008A2A91">
        <w:rPr>
          <w:rFonts w:ascii="Arial" w:hAnsi="Arial" w:cs="Arial"/>
        </w:rPr>
        <w:t xml:space="preserve">Snapshot </w:t>
      </w:r>
      <w:r w:rsidRPr="008A2A91">
        <w:rPr>
          <w:rFonts w:ascii="Arial" w:hAnsi="Arial" w:cs="Arial"/>
        </w:rPr>
        <w:t>of current</w:t>
      </w:r>
      <w:r w:rsidR="001F2E14" w:rsidRPr="008A2A91">
        <w:rPr>
          <w:rFonts w:ascii="Arial" w:hAnsi="Arial" w:cs="Arial"/>
        </w:rPr>
        <w:t xml:space="preserve"> CNSW Board Structure and position with</w:t>
      </w:r>
      <w:r w:rsidRPr="008A2A91">
        <w:rPr>
          <w:rFonts w:ascii="Arial" w:hAnsi="Arial" w:cs="Arial"/>
        </w:rPr>
        <w:t>in croquet in Australia was given to the group, including the re</w:t>
      </w:r>
      <w:r w:rsidR="008A2A91" w:rsidRPr="008A2A91">
        <w:rPr>
          <w:rFonts w:ascii="Arial" w:hAnsi="Arial" w:cs="Arial"/>
        </w:rPr>
        <w:t xml:space="preserve">levant positioning and alignment </w:t>
      </w:r>
      <w:r w:rsidR="008A2A91">
        <w:rPr>
          <w:rFonts w:ascii="Arial" w:hAnsi="Arial" w:cs="Arial"/>
        </w:rPr>
        <w:t xml:space="preserve">with the ACA </w:t>
      </w:r>
      <w:r w:rsidR="008A2A91" w:rsidRPr="008A2A91">
        <w:rPr>
          <w:rFonts w:ascii="Arial" w:hAnsi="Arial" w:cs="Arial"/>
        </w:rPr>
        <w:t>in terms of the</w:t>
      </w:r>
      <w:r w:rsidR="008A2A91">
        <w:rPr>
          <w:rFonts w:ascii="Arial" w:hAnsi="Arial" w:cs="Arial"/>
        </w:rPr>
        <w:t xml:space="preserve"> Strategic Plan, and our legal obligations under the Act.</w:t>
      </w:r>
    </w:p>
    <w:p w14:paraId="2F35A1B6" w14:textId="77777777" w:rsidR="008A2A91" w:rsidRPr="008A2A91" w:rsidRDefault="008A2A91" w:rsidP="008A2A91">
      <w:pPr>
        <w:rPr>
          <w:rFonts w:ascii="Arial" w:hAnsi="Arial" w:cs="Arial"/>
        </w:rPr>
      </w:pPr>
    </w:p>
    <w:p w14:paraId="37899BAF" w14:textId="77777777" w:rsidR="008A2A91" w:rsidRPr="008A2A91" w:rsidRDefault="008A2A91" w:rsidP="008A2A91">
      <w:pPr>
        <w:rPr>
          <w:rFonts w:ascii="Arial" w:hAnsi="Arial" w:cs="Arial"/>
          <w:b/>
          <w:sz w:val="28"/>
          <w:szCs w:val="28"/>
        </w:rPr>
      </w:pPr>
      <w:r w:rsidRPr="008A2A91">
        <w:rPr>
          <w:rFonts w:ascii="Arial" w:hAnsi="Arial" w:cs="Arial"/>
          <w:b/>
          <w:sz w:val="28"/>
          <w:szCs w:val="28"/>
        </w:rPr>
        <w:t>Structure</w:t>
      </w:r>
    </w:p>
    <w:p w14:paraId="352656E0" w14:textId="77777777" w:rsidR="008A2A91" w:rsidRPr="008A2A91" w:rsidRDefault="008A2A91" w:rsidP="008A2A91">
      <w:pPr>
        <w:rPr>
          <w:rFonts w:ascii="Arial" w:hAnsi="Arial" w:cs="Arial"/>
        </w:rPr>
      </w:pPr>
    </w:p>
    <w:p w14:paraId="1ADFA219" w14:textId="77777777" w:rsidR="00C15566" w:rsidRDefault="008A2A91" w:rsidP="00C155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board is seeking</w:t>
      </w:r>
      <w:r w:rsidRPr="008A2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8A2A91">
        <w:rPr>
          <w:rFonts w:ascii="Arial" w:hAnsi="Arial" w:cs="Arial"/>
        </w:rPr>
        <w:t>develop focus groups to look at specific areas within croquet in NSW.</w:t>
      </w:r>
    </w:p>
    <w:p w14:paraId="105A60F1" w14:textId="77777777" w:rsidR="007B4F07" w:rsidRPr="00C15566" w:rsidRDefault="007B4F07" w:rsidP="00C155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15566">
        <w:rPr>
          <w:rFonts w:ascii="Arial" w:hAnsi="Arial" w:cs="Arial"/>
        </w:rPr>
        <w:t>Focus was placed on the key areas of responsibility</w:t>
      </w:r>
      <w:r w:rsidR="00C15566">
        <w:rPr>
          <w:rFonts w:ascii="Arial" w:hAnsi="Arial" w:cs="Arial"/>
        </w:rPr>
        <w:t>,</w:t>
      </w:r>
      <w:r w:rsidRPr="00C15566">
        <w:rPr>
          <w:rFonts w:ascii="Arial" w:hAnsi="Arial" w:cs="Arial"/>
        </w:rPr>
        <w:t xml:space="preserve"> with attendees to then seek out relevant working groups either within the existing structure or externally to develop a simple, measurable and achievable plan for each area of importance. </w:t>
      </w:r>
    </w:p>
    <w:p w14:paraId="7645B871" w14:textId="77777777" w:rsidR="007B4F07" w:rsidRPr="008A2A91" w:rsidRDefault="00C15566" w:rsidP="007B4F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Areas included but not limited to p</w:t>
      </w:r>
      <w:r w:rsidR="007B4F07" w:rsidRPr="008A2A91">
        <w:rPr>
          <w:rFonts w:ascii="Arial" w:hAnsi="Arial" w:cs="Arial"/>
        </w:rPr>
        <w:t>layer development, recruiting, data accumulation and reporting, communication and marketing, refereeing, tournament program and structure, ricochet, gate ball, governance etc.</w:t>
      </w:r>
    </w:p>
    <w:p w14:paraId="6BC1BE69" w14:textId="77777777" w:rsidR="007B4F07" w:rsidRDefault="007B4F07" w:rsidP="007B4F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2A91">
        <w:rPr>
          <w:rFonts w:ascii="Arial" w:hAnsi="Arial" w:cs="Arial"/>
        </w:rPr>
        <w:t>The</w:t>
      </w:r>
      <w:r w:rsidR="008A2A91" w:rsidRPr="008A2A91">
        <w:rPr>
          <w:rFonts w:ascii="Arial" w:hAnsi="Arial" w:cs="Arial"/>
        </w:rPr>
        <w:t>se</w:t>
      </w:r>
      <w:r w:rsidRPr="008A2A91">
        <w:rPr>
          <w:rFonts w:ascii="Arial" w:hAnsi="Arial" w:cs="Arial"/>
        </w:rPr>
        <w:t xml:space="preserve"> plans then come toge</w:t>
      </w:r>
      <w:r w:rsidR="008A2A91">
        <w:rPr>
          <w:rFonts w:ascii="Arial" w:hAnsi="Arial" w:cs="Arial"/>
        </w:rPr>
        <w:t>ther and f</w:t>
      </w:r>
      <w:r w:rsidR="008A2A91" w:rsidRPr="008A2A91">
        <w:rPr>
          <w:rFonts w:ascii="Arial" w:hAnsi="Arial" w:cs="Arial"/>
        </w:rPr>
        <w:t>orm the B</w:t>
      </w:r>
      <w:r w:rsidRPr="008A2A91">
        <w:rPr>
          <w:rFonts w:ascii="Arial" w:hAnsi="Arial" w:cs="Arial"/>
        </w:rPr>
        <w:t>us</w:t>
      </w:r>
      <w:r w:rsidR="008A2A91" w:rsidRPr="008A2A91">
        <w:rPr>
          <w:rFonts w:ascii="Arial" w:hAnsi="Arial" w:cs="Arial"/>
        </w:rPr>
        <w:t>iness Pla</w:t>
      </w:r>
      <w:r w:rsidR="008A2A91">
        <w:rPr>
          <w:rFonts w:ascii="Arial" w:hAnsi="Arial" w:cs="Arial"/>
        </w:rPr>
        <w:t>n that feeds off the Strategic P</w:t>
      </w:r>
      <w:r w:rsidR="008A2A91" w:rsidRPr="008A2A91">
        <w:rPr>
          <w:rFonts w:ascii="Arial" w:hAnsi="Arial" w:cs="Arial"/>
        </w:rPr>
        <w:t>lan.</w:t>
      </w:r>
    </w:p>
    <w:p w14:paraId="02B2A9A0" w14:textId="77777777" w:rsidR="00C15566" w:rsidRPr="008A2A91" w:rsidRDefault="00C15566" w:rsidP="007B4F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Discussion around having a NSW Croquet Conference at the end of February as a means of bringing together as many clubs and individual members as possible, to discuss issues most important to clubs.</w:t>
      </w:r>
    </w:p>
    <w:p w14:paraId="1B220CC2" w14:textId="77777777" w:rsidR="007B4F07" w:rsidRPr="008A2A91" w:rsidRDefault="007B4F07">
      <w:pPr>
        <w:rPr>
          <w:rFonts w:ascii="Arial" w:hAnsi="Arial" w:cs="Arial"/>
        </w:rPr>
      </w:pPr>
    </w:p>
    <w:p w14:paraId="045039B6" w14:textId="77777777" w:rsidR="001F2E14" w:rsidRDefault="00C15566">
      <w:pPr>
        <w:rPr>
          <w:rFonts w:ascii="Arial" w:hAnsi="Arial" w:cs="Arial"/>
          <w:b/>
          <w:sz w:val="28"/>
          <w:szCs w:val="28"/>
        </w:rPr>
      </w:pPr>
      <w:r w:rsidRPr="00C15566">
        <w:rPr>
          <w:rFonts w:ascii="Arial" w:hAnsi="Arial" w:cs="Arial"/>
          <w:b/>
          <w:sz w:val="28"/>
          <w:szCs w:val="28"/>
        </w:rPr>
        <w:t>Outcomes</w:t>
      </w:r>
    </w:p>
    <w:p w14:paraId="14C2AD52" w14:textId="77777777" w:rsidR="00C15566" w:rsidRDefault="00C15566">
      <w:pPr>
        <w:rPr>
          <w:rFonts w:ascii="Arial" w:hAnsi="Arial" w:cs="Arial"/>
          <w:sz w:val="28"/>
          <w:szCs w:val="28"/>
        </w:rPr>
      </w:pPr>
    </w:p>
    <w:p w14:paraId="0B7FF118" w14:textId="77777777" w:rsidR="00C15566" w:rsidRPr="00C15566" w:rsidRDefault="00C15566" w:rsidP="00C155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5566">
        <w:rPr>
          <w:rFonts w:ascii="Arial" w:hAnsi="Arial" w:cs="Arial"/>
        </w:rPr>
        <w:t>Board to provide a simple BP template for all groups including budget.</w:t>
      </w:r>
    </w:p>
    <w:p w14:paraId="4650D214" w14:textId="77777777" w:rsidR="00C15566" w:rsidRPr="00C15566" w:rsidRDefault="00C15566" w:rsidP="00C155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5566">
        <w:rPr>
          <w:rFonts w:ascii="Arial" w:hAnsi="Arial" w:cs="Arial"/>
        </w:rPr>
        <w:t>Board to provide an Organisational Chart to better show the relationship between the board and specific committees in NSW</w:t>
      </w:r>
    </w:p>
    <w:p w14:paraId="25981120" w14:textId="77777777" w:rsidR="00C15566" w:rsidRPr="00C15566" w:rsidRDefault="00C15566" w:rsidP="00C155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5566">
        <w:rPr>
          <w:rFonts w:ascii="Arial" w:hAnsi="Arial" w:cs="Arial"/>
        </w:rPr>
        <w:t>Board to provide a brief report after all monthly meetings to keep the membership informed about current plans and work in progress.</w:t>
      </w:r>
    </w:p>
    <w:p w14:paraId="55D5B385" w14:textId="77777777" w:rsidR="00C15566" w:rsidRPr="00C15566" w:rsidRDefault="00C15566" w:rsidP="00C155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Group to meet/ email </w:t>
      </w:r>
      <w:r w:rsidRPr="00C15566">
        <w:rPr>
          <w:rFonts w:ascii="Arial" w:hAnsi="Arial" w:cs="Arial"/>
        </w:rPr>
        <w:t>within a fortnight with progress in relation to Business plan and working group formation.</w:t>
      </w:r>
    </w:p>
    <w:p w14:paraId="0254C651" w14:textId="77777777" w:rsidR="001F2E14" w:rsidRDefault="001F2E14"/>
    <w:sectPr w:rsidR="001F2E14" w:rsidSect="001F2E14">
      <w:pgSz w:w="11900" w:h="16840"/>
      <w:pgMar w:top="567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3FE4"/>
    <w:multiLevelType w:val="hybridMultilevel"/>
    <w:tmpl w:val="B4A0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A46F7"/>
    <w:multiLevelType w:val="hybridMultilevel"/>
    <w:tmpl w:val="6D52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14"/>
    <w:rsid w:val="001B00F8"/>
    <w:rsid w:val="001F2E14"/>
    <w:rsid w:val="00370B26"/>
    <w:rsid w:val="006C3D69"/>
    <w:rsid w:val="007B4F07"/>
    <w:rsid w:val="00896202"/>
    <w:rsid w:val="008A2A91"/>
    <w:rsid w:val="00C15566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EE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Macintosh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LANDREBE</dc:creator>
  <cp:keywords/>
  <dc:description/>
  <cp:lastModifiedBy>PETER LANDREBE</cp:lastModifiedBy>
  <cp:revision>2</cp:revision>
  <dcterms:created xsi:type="dcterms:W3CDTF">2016-01-12T01:21:00Z</dcterms:created>
  <dcterms:modified xsi:type="dcterms:W3CDTF">2016-01-12T01:21:00Z</dcterms:modified>
</cp:coreProperties>
</file>